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20" w:rsidRDefault="000A061F">
      <w:pPr>
        <w:pStyle w:val="Textoindependiente"/>
        <w:ind w:left="101" w:firstLine="0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d</w:t>
      </w:r>
      <w:proofErr w:type="gramEnd"/>
      <w:r w:rsidR="00863850"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3993555" cy="11828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555" cy="118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0" w:rsidRPr="00E04F0E" w:rsidRDefault="00E92720">
      <w:pPr>
        <w:pStyle w:val="Textoindependiente"/>
        <w:spacing w:before="1"/>
        <w:ind w:left="0" w:firstLine="0"/>
        <w:rPr>
          <w:rFonts w:ascii="Times New Roman"/>
          <w:sz w:val="13"/>
          <w:lang w:val="es-ES"/>
        </w:rPr>
      </w:pPr>
    </w:p>
    <w:p w:rsidR="00E92720" w:rsidRPr="00E04F0E" w:rsidRDefault="00863850" w:rsidP="00863850">
      <w:pPr>
        <w:spacing w:before="92"/>
        <w:jc w:val="center"/>
        <w:rPr>
          <w:sz w:val="24"/>
          <w:lang w:val="es-ES"/>
        </w:rPr>
      </w:pPr>
      <w:r>
        <w:rPr>
          <w:b/>
          <w:bCs/>
          <w:sz w:val="24"/>
          <w:szCs w:val="24"/>
          <w:lang w:val="eu-ES"/>
        </w:rPr>
        <w:t xml:space="preserve">NEKAZARITZAKO </w:t>
      </w:r>
      <w:r w:rsidR="000A061F">
        <w:rPr>
          <w:b/>
          <w:bCs/>
          <w:sz w:val="24"/>
          <w:szCs w:val="24"/>
          <w:lang w:val="eu-ES"/>
        </w:rPr>
        <w:t>MAKINERIAREN ERREGISTRO OFIZIALA</w:t>
      </w:r>
      <w:bookmarkStart w:id="0" w:name="_GoBack"/>
      <w:bookmarkEnd w:id="0"/>
    </w:p>
    <w:p w:rsidR="00E92720" w:rsidRPr="00863850" w:rsidRDefault="00863850" w:rsidP="00E04F0E">
      <w:pPr>
        <w:spacing w:before="137" w:line="360" w:lineRule="auto"/>
        <w:ind w:left="4011" w:hanging="4011"/>
        <w:jc w:val="center"/>
        <w:rPr>
          <w:w w:val="95"/>
          <w:lang w:val="es-ES"/>
        </w:rPr>
      </w:pPr>
      <w:r w:rsidRPr="00863850">
        <w:rPr>
          <w:w w:val="95"/>
          <w:lang w:val="eu-ES"/>
        </w:rPr>
        <w:t>(448/2020 Errege Dekretua, martxoaren 10ekoa, eta 214 Foru Agindua, 2011ko apirilaren 5ekoa)</w:t>
      </w:r>
    </w:p>
    <w:p w:rsidR="00E04F0E" w:rsidRPr="00E04F0E" w:rsidRDefault="00E04F0E" w:rsidP="00E04F0E">
      <w:pPr>
        <w:spacing w:before="137" w:line="360" w:lineRule="auto"/>
        <w:ind w:left="4011" w:hanging="4011"/>
        <w:jc w:val="both"/>
        <w:rPr>
          <w:sz w:val="24"/>
          <w:lang w:val="es-ES"/>
        </w:rPr>
      </w:pPr>
    </w:p>
    <w:p w:rsidR="00E92720" w:rsidRPr="00863850" w:rsidRDefault="00863850">
      <w:pPr>
        <w:pStyle w:val="Textoindependiente"/>
        <w:spacing w:before="2" w:line="360" w:lineRule="auto"/>
        <w:ind w:left="101" w:right="112" w:firstLine="0"/>
        <w:jc w:val="both"/>
        <w:rPr>
          <w:lang w:val="eu-ES"/>
        </w:rPr>
      </w:pPr>
      <w:r>
        <w:rPr>
          <w:lang w:val="eu-ES"/>
        </w:rPr>
        <w:t>2020ko martxoaren 10eko 448/2020 Errege Dekretuaren bidez, nekazaritzako makineria inskribatzeko oinarrizko baldintzak zehazten eta arautzen dira. Makina bat nahitaez inskribatu beharko da Erregistro Ofizialean, honako egoera hauetakoren bat gertatzen denean:</w:t>
      </w:r>
    </w:p>
    <w:p w:rsidR="00E92720" w:rsidRPr="00863850" w:rsidRDefault="00863850">
      <w:pPr>
        <w:pStyle w:val="Prrafodelista"/>
        <w:numPr>
          <w:ilvl w:val="0"/>
          <w:numId w:val="2"/>
        </w:numPr>
        <w:tabs>
          <w:tab w:val="left" w:pos="822"/>
        </w:tabs>
        <w:spacing w:line="268" w:lineRule="exact"/>
        <w:ind w:hanging="361"/>
        <w:jc w:val="both"/>
        <w:rPr>
          <w:lang w:val="it-IT"/>
        </w:rPr>
      </w:pPr>
      <w:r>
        <w:rPr>
          <w:lang w:val="eu-ES"/>
        </w:rPr>
        <w:t>Nekazaritza jardueran makineria berria sartzea.</w:t>
      </w:r>
    </w:p>
    <w:p w:rsidR="00E92720" w:rsidRPr="00863850" w:rsidRDefault="00863850">
      <w:pPr>
        <w:pStyle w:val="Prrafodelista"/>
        <w:numPr>
          <w:ilvl w:val="0"/>
          <w:numId w:val="2"/>
        </w:numPr>
        <w:tabs>
          <w:tab w:val="left" w:pos="822"/>
        </w:tabs>
        <w:spacing w:before="127"/>
        <w:ind w:hanging="361"/>
        <w:jc w:val="both"/>
        <w:rPr>
          <w:lang w:val="it-IT"/>
        </w:rPr>
      </w:pPr>
      <w:r>
        <w:rPr>
          <w:lang w:val="eu-ES"/>
        </w:rPr>
        <w:t>Beste herrialde batzuetatik datozen makineria erabilia sartzea.</w:t>
      </w:r>
    </w:p>
    <w:p w:rsidR="00E92720" w:rsidRPr="00863850" w:rsidRDefault="00863850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24" w:line="350" w:lineRule="auto"/>
        <w:ind w:right="113"/>
        <w:jc w:val="both"/>
        <w:rPr>
          <w:lang w:val="it-IT"/>
        </w:rPr>
      </w:pPr>
      <w:r>
        <w:rPr>
          <w:lang w:val="eu-ES"/>
        </w:rPr>
        <w:t>Obra eta zerbitzuen sektoretik datorren makineria nekazaritza sektorean sartzea.</w:t>
      </w:r>
    </w:p>
    <w:p w:rsidR="00E92720" w:rsidRPr="00863850" w:rsidRDefault="00863850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0" w:line="352" w:lineRule="auto"/>
        <w:ind w:right="112"/>
        <w:jc w:val="both"/>
        <w:rPr>
          <w:lang w:val="it-IT"/>
        </w:rPr>
      </w:pPr>
      <w:r>
        <w:rPr>
          <w:lang w:val="eu-ES"/>
        </w:rPr>
        <w:t>Titulartasuna aldatzea, erabilera edo xedea aldatu gabe. Jaraunspenetatik datozen makinak Erregistro Ofizialean inskribatuko dira, baldin eta jaraunsleak 17.4 artikuluan adierazitako ezaugarriren bat betetzen badu; hala ez bada, makina horri aldi baterako baja emango zaio sal</w:t>
      </w:r>
      <w:r>
        <w:rPr>
          <w:lang w:val="eu-ES"/>
        </w:rPr>
        <w:lastRenderedPageBreak/>
        <w:t>menta egin arte, eta titulartasuna zuzenean erosle berriari transferituko zaio.</w:t>
      </w:r>
    </w:p>
    <w:p w:rsidR="00E92720" w:rsidRPr="00863850" w:rsidRDefault="00863850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7" w:line="350" w:lineRule="auto"/>
        <w:ind w:right="110"/>
        <w:jc w:val="both"/>
        <w:rPr>
          <w:lang w:val="eu-ES"/>
        </w:rPr>
      </w:pPr>
      <w:r>
        <w:rPr>
          <w:lang w:val="eu-ES"/>
        </w:rPr>
        <w:t xml:space="preserve">Erabiltzen ari diren makinei alta ematea. II. eranskineko I) letran zerrendatutako taldeei eta bigarren xedapen iragankorrean jasotako ekipoei soilik aplikatuko zaie. </w:t>
      </w:r>
    </w:p>
    <w:p w:rsidR="003E77E9" w:rsidRPr="00E04F0E" w:rsidRDefault="00863850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7" w:line="350" w:lineRule="auto"/>
        <w:ind w:right="110"/>
        <w:jc w:val="both"/>
        <w:rPr>
          <w:lang w:val="es-ES"/>
        </w:rPr>
      </w:pPr>
      <w:r>
        <w:rPr>
          <w:lang w:val="eu-ES"/>
        </w:rPr>
        <w:t>Bestelako arrazoiak.</w:t>
      </w:r>
    </w:p>
    <w:p w:rsidR="003E77E9" w:rsidRPr="00E04F0E" w:rsidRDefault="003E77E9" w:rsidP="00D20E83">
      <w:pPr>
        <w:pStyle w:val="Prrafodelista"/>
        <w:tabs>
          <w:tab w:val="left" w:pos="821"/>
          <w:tab w:val="left" w:pos="822"/>
        </w:tabs>
        <w:spacing w:before="7" w:line="350" w:lineRule="auto"/>
        <w:ind w:right="110" w:firstLine="0"/>
        <w:jc w:val="both"/>
        <w:rPr>
          <w:lang w:val="es-ES"/>
        </w:rPr>
      </w:pPr>
    </w:p>
    <w:p w:rsidR="00E92720" w:rsidRPr="00E04F0E" w:rsidRDefault="00863850" w:rsidP="00237DF2">
      <w:pPr>
        <w:pStyle w:val="Textoindependiente"/>
        <w:spacing w:before="10" w:line="360" w:lineRule="auto"/>
        <w:ind w:left="101" w:firstLine="0"/>
        <w:jc w:val="both"/>
        <w:rPr>
          <w:lang w:val="es-ES"/>
        </w:rPr>
      </w:pPr>
      <w:r>
        <w:rPr>
          <w:lang w:val="eu-ES"/>
        </w:rPr>
        <w:t>Dekretu horren II. eranskinean eta 214 Foru Aginduan zehazten dira nahitaez inskribatu beharreko makina taldeak: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line="252" w:lineRule="exact"/>
        <w:ind w:hanging="361"/>
        <w:jc w:val="both"/>
        <w:rPr>
          <w:lang w:val="es-ES"/>
        </w:rPr>
      </w:pPr>
      <w:r>
        <w:rPr>
          <w:lang w:val="eu-ES"/>
        </w:rPr>
        <w:t>Nekazaritzako eta basogintzako traktoreak, edozein mota eta kategoriakoak.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6"/>
        <w:ind w:hanging="361"/>
        <w:jc w:val="both"/>
        <w:rPr>
          <w:lang w:val="es-ES"/>
        </w:rPr>
      </w:pPr>
      <w:r>
        <w:rPr>
          <w:lang w:val="eu-ES"/>
        </w:rPr>
        <w:t>Motokultoreak.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7"/>
        <w:ind w:hanging="361"/>
        <w:jc w:val="both"/>
        <w:rPr>
          <w:lang w:val="es-ES"/>
        </w:rPr>
      </w:pPr>
      <w:r>
        <w:rPr>
          <w:lang w:val="eu-ES"/>
        </w:rPr>
        <w:t>Gurdi traktoreak.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8"/>
        <w:ind w:hanging="361"/>
        <w:jc w:val="both"/>
        <w:rPr>
          <w:lang w:val="es-ES"/>
        </w:rPr>
      </w:pPr>
      <w:r>
        <w:rPr>
          <w:lang w:val="eu-ES"/>
        </w:rPr>
        <w:t>Beren indarrez dabiltzan makinak, edozein mota, potentzia eta pisutakoak direla ere.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6" w:line="360" w:lineRule="auto"/>
        <w:ind w:right="110"/>
        <w:jc w:val="both"/>
        <w:rPr>
          <w:lang w:val="es-ES"/>
        </w:rPr>
      </w:pPr>
      <w:r>
        <w:rPr>
          <w:lang w:val="eu-ES"/>
        </w:rPr>
        <w:t>Atoian eramateko makinak.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2" w:lineRule="exact"/>
        <w:ind w:hanging="361"/>
        <w:jc w:val="both"/>
        <w:rPr>
          <w:lang w:val="es-ES"/>
        </w:rPr>
      </w:pPr>
      <w:r>
        <w:rPr>
          <w:lang w:val="eu-ES"/>
        </w:rPr>
        <w:t>Nekazaritzako atoiak.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7"/>
        <w:ind w:hanging="361"/>
        <w:jc w:val="both"/>
        <w:rPr>
          <w:lang w:val="es-ES"/>
        </w:rPr>
      </w:pPr>
      <w:r>
        <w:rPr>
          <w:lang w:val="eu-ES"/>
        </w:rPr>
        <w:t>Likidoak garraiatzeko eta banatzeko zisternak.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6" w:line="360" w:lineRule="auto"/>
        <w:ind w:right="111"/>
        <w:jc w:val="both"/>
        <w:rPr>
          <w:lang w:val="es-ES"/>
        </w:rPr>
      </w:pPr>
      <w:r>
        <w:rPr>
          <w:lang w:val="eu-ES"/>
        </w:rPr>
        <w:t>Tratamendu fitosanitarioak egiteko ekipoak, atoian eramandakoak edo esekitakoak, edozein edukiera edo pisutakoak, baita eskuzko ekipo lainoztagailuak (eskorga) ere, 100 litrotik gorako depositua badute.</w:t>
      </w:r>
    </w:p>
    <w:p w:rsidR="00E92720" w:rsidRPr="00E04F0E" w:rsidRDefault="00863850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s-ES"/>
        </w:rPr>
      </w:pPr>
      <w:r>
        <w:rPr>
          <w:lang w:val="eu-ES"/>
        </w:rPr>
        <w:t>Ongarriak banatzeko atoian eramandako edo esekitako edozein edukiera eta pisutako ekipoak.</w:t>
      </w:r>
    </w:p>
    <w:p w:rsidR="00237DF2" w:rsidRPr="00E04F0E" w:rsidRDefault="00237DF2" w:rsidP="00237DF2">
      <w:pPr>
        <w:tabs>
          <w:tab w:val="left" w:pos="821"/>
          <w:tab w:val="left" w:pos="822"/>
        </w:tabs>
        <w:spacing w:line="360" w:lineRule="auto"/>
        <w:ind w:right="111"/>
        <w:rPr>
          <w:lang w:val="es-ES"/>
        </w:rPr>
      </w:pPr>
    </w:p>
    <w:p w:rsidR="00237DF2" w:rsidRPr="00E04F0E" w:rsidRDefault="00237DF2" w:rsidP="00237DF2">
      <w:pPr>
        <w:pStyle w:val="Prrafodelista"/>
        <w:tabs>
          <w:tab w:val="left" w:pos="821"/>
          <w:tab w:val="left" w:pos="822"/>
        </w:tabs>
        <w:spacing w:line="360" w:lineRule="auto"/>
        <w:ind w:right="111" w:firstLine="0"/>
        <w:rPr>
          <w:lang w:val="es-ES"/>
        </w:rPr>
      </w:pPr>
    </w:p>
    <w:p w:rsidR="00237DF2" w:rsidRPr="00E04F0E" w:rsidRDefault="00237DF2" w:rsidP="00237DF2">
      <w:pPr>
        <w:pStyle w:val="Prrafodelista"/>
        <w:rPr>
          <w:lang w:val="es-ES"/>
        </w:rPr>
      </w:pPr>
    </w:p>
    <w:p w:rsidR="00237DF2" w:rsidRPr="00863850" w:rsidRDefault="00863850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u-ES"/>
        </w:rPr>
      </w:pPr>
      <w:r>
        <w:rPr>
          <w:lang w:val="eu-ES"/>
        </w:rPr>
        <w:lastRenderedPageBreak/>
        <w:t>Minda zabaltzaileak eta mindak modu lokalizatuan banatzeko osagarriak. Minda zabaltzaileak banaketa kudeatzeko edo hobetzeko elementuak edo sentsoreak dituenean, fabrikatzaileak edo legezko ordezkariak VI. eranskina beteko du.</w:t>
      </w:r>
    </w:p>
    <w:p w:rsidR="00237DF2" w:rsidRPr="00863850" w:rsidRDefault="00863850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u-ES"/>
        </w:rPr>
      </w:pPr>
      <w:r>
        <w:rPr>
          <w:lang w:val="eu-ES"/>
        </w:rPr>
        <w:t>Aurreko ataletako batean sartuta ez dauden makinak, baldin eta horiek eskuratzeko kreditu edo dirulaguntza ofizial bat eman bada, eta, betiere 2. artikuluan ezarritakoa betetzen badute.</w:t>
      </w:r>
    </w:p>
    <w:p w:rsidR="00237DF2" w:rsidRPr="00863850" w:rsidRDefault="00863850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u-ES"/>
        </w:rPr>
      </w:pPr>
      <w:r>
        <w:rPr>
          <w:lang w:val="eu-ES"/>
        </w:rPr>
        <w:t>Aurretik jaso ez diren eta autonomia erkidegoek zehazten dituzten nekazaritza makinak, erabaki hori Nekazaritza, Arrantza eta Elikadura Ministerioari jakinarazi ondoren.</w:t>
      </w:r>
    </w:p>
    <w:sectPr w:rsidR="00237DF2" w:rsidRPr="00863850" w:rsidSect="00E04F0E">
      <w:type w:val="continuous"/>
      <w:pgSz w:w="11900" w:h="16840"/>
      <w:pgMar w:top="700" w:right="141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93D2D"/>
    <w:multiLevelType w:val="hybridMultilevel"/>
    <w:tmpl w:val="6C56B514"/>
    <w:lvl w:ilvl="0" w:tplc="1F9ACE0C">
      <w:start w:val="1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6F03054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CEA681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918B600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C71CFE6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7BF4D2D6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F906E44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E67CCB4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A93E5BFA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" w15:restartNumberingAfterBreak="0">
    <w:nsid w:val="7B827B15"/>
    <w:multiLevelType w:val="hybridMultilevel"/>
    <w:tmpl w:val="5C50F118"/>
    <w:lvl w:ilvl="0" w:tplc="610A2F4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24483E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91FA98BA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7C74E9FA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C79C36A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59265FA0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F13658EE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2D161532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8FC270E2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20"/>
    <w:rsid w:val="000A061F"/>
    <w:rsid w:val="00237DF2"/>
    <w:rsid w:val="003E77E9"/>
    <w:rsid w:val="006303F1"/>
    <w:rsid w:val="007E0A5A"/>
    <w:rsid w:val="00863850"/>
    <w:rsid w:val="00BD0566"/>
    <w:rsid w:val="00C80C91"/>
    <w:rsid w:val="00D20E83"/>
    <w:rsid w:val="00E04F0E"/>
    <w:rsid w:val="00E92720"/>
    <w:rsid w:val="00F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2AD3"/>
  <w15:docId w15:val="{A60DA852-9AD9-4A88-90E6-3F4A6CE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 w:hanging="361"/>
    </w:p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04F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F0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ROMA</vt:lpstr>
    </vt:vector>
  </TitlesOfParts>
  <Company>IZFE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</dc:title>
  <dc:creator>ODRIERAM</dc:creator>
  <cp:keywords>()</cp:keywords>
  <cp:lastModifiedBy>ODRIOZOLA ERAUSQUIN, Maria Luisa</cp:lastModifiedBy>
  <cp:revision>2</cp:revision>
  <dcterms:created xsi:type="dcterms:W3CDTF">2023-02-16T09:18:00Z</dcterms:created>
  <dcterms:modified xsi:type="dcterms:W3CDTF">2023-02-16T09:18:00Z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2023-02-09T00:00:00Z</vt:filetime>
  </property>
</Properties>
</file>