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20" w:rsidRDefault="00D20E83">
      <w:pPr>
        <w:pStyle w:val="Textoindependiente"/>
        <w:ind w:left="101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3993555" cy="11828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555" cy="118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0" w:rsidRPr="00E04F0E" w:rsidRDefault="00E92720">
      <w:pPr>
        <w:pStyle w:val="Textoindependiente"/>
        <w:spacing w:before="1"/>
        <w:ind w:left="0" w:firstLine="0"/>
        <w:rPr>
          <w:rFonts w:ascii="Times New Roman"/>
          <w:sz w:val="13"/>
          <w:lang w:val="es-ES"/>
        </w:rPr>
      </w:pPr>
    </w:p>
    <w:p w:rsidR="00E92720" w:rsidRPr="00E04F0E" w:rsidRDefault="00D20E83">
      <w:pPr>
        <w:spacing w:before="92"/>
        <w:ind w:left="1472" w:right="1488"/>
        <w:jc w:val="center"/>
        <w:rPr>
          <w:sz w:val="24"/>
          <w:lang w:val="es-ES"/>
        </w:rPr>
      </w:pPr>
      <w:r w:rsidRPr="00E04F0E">
        <w:rPr>
          <w:b/>
          <w:sz w:val="24"/>
          <w:lang w:val="es-ES"/>
        </w:rPr>
        <w:t>REGISTRO OFICIAL DE MAQUINARIA AGRÍCOLA</w:t>
      </w:r>
      <w:r w:rsidRPr="00E04F0E">
        <w:rPr>
          <w:sz w:val="24"/>
          <w:lang w:val="es-ES"/>
        </w:rPr>
        <w:t>:</w:t>
      </w:r>
    </w:p>
    <w:p w:rsidR="00E92720" w:rsidRPr="00E04F0E" w:rsidRDefault="00D20E83" w:rsidP="00E04F0E">
      <w:pPr>
        <w:spacing w:before="137" w:line="360" w:lineRule="auto"/>
        <w:ind w:left="4011" w:hanging="4011"/>
        <w:jc w:val="center"/>
        <w:rPr>
          <w:lang w:val="es-ES"/>
        </w:rPr>
      </w:pPr>
      <w:r w:rsidRPr="00E04F0E">
        <w:rPr>
          <w:lang w:val="es-ES"/>
        </w:rPr>
        <w:t xml:space="preserve">(Real Decreto </w:t>
      </w:r>
      <w:r w:rsidR="00BD0566" w:rsidRPr="00E04F0E">
        <w:rPr>
          <w:i/>
          <w:lang w:val="es-ES"/>
        </w:rPr>
        <w:t>448/2020, de 10 de marzo</w:t>
      </w:r>
      <w:r w:rsidRPr="00E04F0E">
        <w:rPr>
          <w:i/>
          <w:lang w:val="es-ES"/>
        </w:rPr>
        <w:t xml:space="preserve"> y Orden Fo</w:t>
      </w:r>
      <w:r w:rsidR="00E04F0E" w:rsidRPr="00E04F0E">
        <w:rPr>
          <w:i/>
          <w:lang w:val="es-ES"/>
        </w:rPr>
        <w:t>ral 214 del 5 de abril del 2011</w:t>
      </w:r>
      <w:r w:rsidRPr="00E04F0E">
        <w:rPr>
          <w:lang w:val="es-ES"/>
        </w:rPr>
        <w:t>)</w:t>
      </w:r>
    </w:p>
    <w:p w:rsidR="00E04F0E" w:rsidRPr="00E04F0E" w:rsidRDefault="00E04F0E" w:rsidP="00E04F0E">
      <w:pPr>
        <w:spacing w:before="137" w:line="360" w:lineRule="auto"/>
        <w:ind w:left="4011" w:hanging="4011"/>
        <w:jc w:val="both"/>
        <w:rPr>
          <w:sz w:val="24"/>
          <w:lang w:val="es-ES"/>
        </w:rPr>
      </w:pPr>
    </w:p>
    <w:p w:rsidR="00E92720" w:rsidRPr="00E04F0E" w:rsidRDefault="00D20E83">
      <w:pPr>
        <w:pStyle w:val="Textoindependiente"/>
        <w:spacing w:before="2" w:line="360" w:lineRule="auto"/>
        <w:ind w:left="101" w:right="112" w:firstLine="0"/>
        <w:jc w:val="both"/>
        <w:rPr>
          <w:lang w:val="es-ES"/>
        </w:rPr>
      </w:pPr>
      <w:r w:rsidRPr="00E04F0E">
        <w:rPr>
          <w:lang w:val="es-ES"/>
        </w:rPr>
        <w:t xml:space="preserve">Mediante el real decreto </w:t>
      </w:r>
      <w:r w:rsidR="00BD0566" w:rsidRPr="00E04F0E">
        <w:rPr>
          <w:lang w:val="es-ES"/>
        </w:rPr>
        <w:t>448/2020, de 10 de marzo</w:t>
      </w:r>
      <w:r w:rsidRPr="00E04F0E">
        <w:rPr>
          <w:lang w:val="es-ES"/>
        </w:rPr>
        <w:t>, se caracteriza y se regulan las condiciones básicas para la inscripción de maquinaria agrícola. La inscripción de una máquina en el ROMA deberá r</w:t>
      </w:r>
      <w:r w:rsidR="00E04F0E">
        <w:rPr>
          <w:lang w:val="es-ES"/>
        </w:rPr>
        <w:t>ealizarse de forma obligatoria</w:t>
      </w:r>
      <w:r w:rsidRPr="00E04F0E">
        <w:rPr>
          <w:lang w:val="es-ES"/>
        </w:rPr>
        <w:t>, cuando se dé una de las siguientes</w:t>
      </w:r>
      <w:r w:rsidRPr="00E04F0E">
        <w:rPr>
          <w:spacing w:val="1"/>
          <w:lang w:val="es-ES"/>
        </w:rPr>
        <w:t xml:space="preserve"> </w:t>
      </w:r>
      <w:r w:rsidRPr="00E04F0E">
        <w:rPr>
          <w:lang w:val="es-ES"/>
        </w:rPr>
        <w:t>situaciones:</w:t>
      </w:r>
    </w:p>
    <w:p w:rsidR="00E92720" w:rsidRPr="00E04F0E" w:rsidRDefault="00D20E83">
      <w:pPr>
        <w:pStyle w:val="Prrafodelista"/>
        <w:numPr>
          <w:ilvl w:val="0"/>
          <w:numId w:val="2"/>
        </w:numPr>
        <w:tabs>
          <w:tab w:val="left" w:pos="822"/>
        </w:tabs>
        <w:spacing w:line="268" w:lineRule="exact"/>
        <w:ind w:hanging="361"/>
        <w:jc w:val="both"/>
        <w:rPr>
          <w:lang w:val="es-ES"/>
        </w:rPr>
      </w:pPr>
      <w:r w:rsidRPr="00E04F0E">
        <w:rPr>
          <w:lang w:val="es-ES"/>
        </w:rPr>
        <w:t>Incorporación de maquinaria nueva a la actividad</w:t>
      </w:r>
      <w:r w:rsidRPr="00E04F0E">
        <w:rPr>
          <w:spacing w:val="-6"/>
          <w:lang w:val="es-ES"/>
        </w:rPr>
        <w:t xml:space="preserve"> </w:t>
      </w:r>
      <w:r w:rsidRPr="00E04F0E">
        <w:rPr>
          <w:lang w:val="es-ES"/>
        </w:rPr>
        <w:t>agraria.</w:t>
      </w:r>
    </w:p>
    <w:p w:rsidR="00E92720" w:rsidRPr="00E04F0E" w:rsidRDefault="00D20E83">
      <w:pPr>
        <w:pStyle w:val="Prrafodelista"/>
        <w:numPr>
          <w:ilvl w:val="0"/>
          <w:numId w:val="2"/>
        </w:numPr>
        <w:tabs>
          <w:tab w:val="left" w:pos="822"/>
        </w:tabs>
        <w:spacing w:before="127"/>
        <w:ind w:hanging="361"/>
        <w:jc w:val="both"/>
        <w:rPr>
          <w:lang w:val="es-ES"/>
        </w:rPr>
      </w:pPr>
      <w:r w:rsidRPr="00E04F0E">
        <w:rPr>
          <w:lang w:val="es-ES"/>
        </w:rPr>
        <w:t>Incorporación de maquinaria usada procedente de otros</w:t>
      </w:r>
      <w:r w:rsidRPr="00E04F0E">
        <w:rPr>
          <w:spacing w:val="-7"/>
          <w:lang w:val="es-ES"/>
        </w:rPr>
        <w:t xml:space="preserve"> </w:t>
      </w:r>
      <w:r w:rsidRPr="00E04F0E">
        <w:rPr>
          <w:lang w:val="es-ES"/>
        </w:rPr>
        <w:t>países.</w:t>
      </w:r>
    </w:p>
    <w:p w:rsidR="00E92720" w:rsidRPr="00E04F0E" w:rsidRDefault="00D20E83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24" w:line="350" w:lineRule="auto"/>
        <w:ind w:right="113"/>
        <w:jc w:val="both"/>
        <w:rPr>
          <w:lang w:val="es-ES"/>
        </w:rPr>
      </w:pPr>
      <w:r w:rsidRPr="00E04F0E">
        <w:rPr>
          <w:lang w:val="es-ES"/>
        </w:rPr>
        <w:t>Incorporación al sector agrario, procedente de los sectores de obras y servicios.</w:t>
      </w:r>
    </w:p>
    <w:p w:rsidR="00E92720" w:rsidRPr="00E04F0E" w:rsidRDefault="00BD0566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0" w:line="352" w:lineRule="auto"/>
        <w:ind w:right="112"/>
        <w:jc w:val="both"/>
        <w:rPr>
          <w:lang w:val="es-ES"/>
        </w:rPr>
      </w:pPr>
      <w:r w:rsidRPr="00E04F0E">
        <w:rPr>
          <w:lang w:val="es-ES"/>
        </w:rPr>
        <w:t>Cambio de titularidad</w:t>
      </w:r>
      <w:r w:rsidR="00D20E83" w:rsidRPr="00E04F0E">
        <w:rPr>
          <w:lang w:val="es-ES"/>
        </w:rPr>
        <w:t>, sin modificación de su uso o</w:t>
      </w:r>
      <w:r w:rsidR="00D20E83" w:rsidRPr="00E04F0E">
        <w:rPr>
          <w:spacing w:val="-1"/>
          <w:lang w:val="es-ES"/>
        </w:rPr>
        <w:t xml:space="preserve"> </w:t>
      </w:r>
      <w:r w:rsidR="00D20E83" w:rsidRPr="00E04F0E">
        <w:rPr>
          <w:lang w:val="es-ES"/>
        </w:rPr>
        <w:t>destino.</w:t>
      </w:r>
      <w:r w:rsidRPr="00E04F0E">
        <w:rPr>
          <w:lang w:val="es-ES"/>
        </w:rPr>
        <w:t xml:space="preserve"> Las máquinas que provienen d</w:t>
      </w:r>
      <w:r w:rsidR="006303F1" w:rsidRPr="00E04F0E">
        <w:rPr>
          <w:lang w:val="es-ES"/>
        </w:rPr>
        <w:t xml:space="preserve">e herencias se inscribirán en el ROMA siempre que la persona heredera reúna alguna de las características indicadas en el artículo 17.4; en caso de no ser así, dicha máquina se dará de baja temporal hasta que se produzca la venta, siendo la transferencia de la titularidad directamente al nuevo </w:t>
      </w:r>
      <w:r w:rsidR="006303F1" w:rsidRPr="00E04F0E">
        <w:rPr>
          <w:lang w:val="es-ES"/>
        </w:rPr>
        <w:lastRenderedPageBreak/>
        <w:t>comprador.</w:t>
      </w:r>
    </w:p>
    <w:p w:rsidR="00E92720" w:rsidRPr="00E04F0E" w:rsidRDefault="00D20E83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7" w:line="350" w:lineRule="auto"/>
        <w:ind w:right="110"/>
        <w:jc w:val="both"/>
        <w:rPr>
          <w:lang w:val="es-ES"/>
        </w:rPr>
      </w:pPr>
      <w:r w:rsidRPr="00E04F0E">
        <w:rPr>
          <w:lang w:val="es-ES"/>
        </w:rPr>
        <w:t xml:space="preserve">Alta de máquinas </w:t>
      </w:r>
      <w:r w:rsidR="006303F1" w:rsidRPr="00E04F0E">
        <w:rPr>
          <w:lang w:val="es-ES"/>
        </w:rPr>
        <w:t>en uso</w:t>
      </w:r>
      <w:r w:rsidR="003E77E9" w:rsidRPr="00E04F0E">
        <w:rPr>
          <w:lang w:val="es-ES"/>
        </w:rPr>
        <w:t>. Solo  de aplicación para equipos relacionados en el anexo II, letra I) y los equipos contemplados en la disposición transitoria segunda.</w:t>
      </w:r>
      <w:r w:rsidR="006303F1" w:rsidRPr="00E04F0E">
        <w:rPr>
          <w:lang w:val="es-ES"/>
        </w:rPr>
        <w:t xml:space="preserve"> </w:t>
      </w:r>
    </w:p>
    <w:p w:rsidR="003E77E9" w:rsidRPr="00E04F0E" w:rsidRDefault="003E77E9" w:rsidP="006303F1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7" w:line="350" w:lineRule="auto"/>
        <w:ind w:right="110"/>
        <w:jc w:val="both"/>
        <w:rPr>
          <w:lang w:val="es-ES"/>
        </w:rPr>
      </w:pPr>
      <w:r w:rsidRPr="00E04F0E">
        <w:rPr>
          <w:lang w:val="es-ES"/>
        </w:rPr>
        <w:t>Otros motivos.</w:t>
      </w:r>
    </w:p>
    <w:p w:rsidR="003E77E9" w:rsidRPr="00E04F0E" w:rsidRDefault="003E77E9" w:rsidP="00D20E83">
      <w:pPr>
        <w:pStyle w:val="Prrafodelista"/>
        <w:tabs>
          <w:tab w:val="left" w:pos="821"/>
          <w:tab w:val="left" w:pos="822"/>
        </w:tabs>
        <w:spacing w:before="7" w:line="350" w:lineRule="auto"/>
        <w:ind w:right="110" w:firstLine="0"/>
        <w:jc w:val="both"/>
        <w:rPr>
          <w:lang w:val="es-ES"/>
        </w:rPr>
      </w:pPr>
    </w:p>
    <w:p w:rsidR="00E92720" w:rsidRPr="00E04F0E" w:rsidRDefault="00D20E83" w:rsidP="00237DF2">
      <w:pPr>
        <w:pStyle w:val="Textoindependiente"/>
        <w:spacing w:before="10" w:line="360" w:lineRule="auto"/>
        <w:ind w:left="101" w:firstLine="0"/>
        <w:jc w:val="both"/>
        <w:rPr>
          <w:lang w:val="es-ES"/>
        </w:rPr>
      </w:pPr>
      <w:r w:rsidRPr="00E04F0E">
        <w:rPr>
          <w:lang w:val="es-ES"/>
        </w:rPr>
        <w:t>En el anexo II de dicho decreto y en la orden foral nº 214 se detallan los grupos de máquinas de inscripción obligatoria: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line="252" w:lineRule="exact"/>
        <w:ind w:hanging="361"/>
        <w:jc w:val="both"/>
        <w:rPr>
          <w:lang w:val="es-ES"/>
        </w:rPr>
      </w:pPr>
      <w:r w:rsidRPr="00E04F0E">
        <w:rPr>
          <w:lang w:val="es-ES"/>
        </w:rPr>
        <w:t>Tractores agrícolas y forestales de cualquier tipo y</w:t>
      </w:r>
      <w:r w:rsidRPr="00E04F0E">
        <w:rPr>
          <w:spacing w:val="-10"/>
          <w:lang w:val="es-ES"/>
        </w:rPr>
        <w:t xml:space="preserve"> </w:t>
      </w:r>
      <w:r w:rsidRPr="00E04F0E">
        <w:rPr>
          <w:lang w:val="es-ES"/>
        </w:rPr>
        <w:t>categoría</w:t>
      </w:r>
      <w:r w:rsidR="0035138C">
        <w:rPr>
          <w:lang w:val="es-ES"/>
        </w:rPr>
        <w:t>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/>
        <w:ind w:hanging="361"/>
        <w:jc w:val="both"/>
        <w:rPr>
          <w:lang w:val="es-ES"/>
        </w:rPr>
      </w:pPr>
      <w:r w:rsidRPr="00E04F0E">
        <w:rPr>
          <w:lang w:val="es-ES"/>
        </w:rPr>
        <w:t>Motocultores</w:t>
      </w:r>
      <w:r w:rsidR="0035138C">
        <w:rPr>
          <w:lang w:val="es-ES"/>
        </w:rPr>
        <w:t>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7"/>
        <w:ind w:hanging="361"/>
        <w:jc w:val="both"/>
        <w:rPr>
          <w:lang w:val="es-ES"/>
        </w:rPr>
      </w:pPr>
      <w:proofErr w:type="spellStart"/>
      <w:r w:rsidRPr="00E04F0E">
        <w:rPr>
          <w:lang w:val="es-ES"/>
        </w:rPr>
        <w:t>Tractocarros</w:t>
      </w:r>
      <w:proofErr w:type="spellEnd"/>
      <w:r w:rsidR="0035138C">
        <w:rPr>
          <w:lang w:val="es-ES"/>
        </w:rPr>
        <w:t>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8"/>
        <w:ind w:hanging="361"/>
        <w:jc w:val="both"/>
        <w:rPr>
          <w:lang w:val="es-ES"/>
        </w:rPr>
      </w:pPr>
      <w:r w:rsidRPr="00E04F0E">
        <w:rPr>
          <w:lang w:val="es-ES"/>
        </w:rPr>
        <w:t>Máquinas automotrices de cualquier tipo, potencia y</w:t>
      </w:r>
      <w:r w:rsidRPr="00E04F0E">
        <w:rPr>
          <w:spacing w:val="-7"/>
          <w:lang w:val="es-ES"/>
        </w:rPr>
        <w:t xml:space="preserve"> </w:t>
      </w:r>
      <w:r w:rsidRPr="00E04F0E">
        <w:rPr>
          <w:lang w:val="es-ES"/>
        </w:rPr>
        <w:t>peso</w:t>
      </w:r>
      <w:r w:rsidR="0035138C">
        <w:rPr>
          <w:lang w:val="es-ES"/>
        </w:rPr>
        <w:t>.</w:t>
      </w:r>
    </w:p>
    <w:p w:rsidR="00E92720" w:rsidRPr="00E04F0E" w:rsidRDefault="007E0A5A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 w:line="360" w:lineRule="auto"/>
        <w:ind w:right="110"/>
        <w:jc w:val="both"/>
        <w:rPr>
          <w:lang w:val="es-ES"/>
        </w:rPr>
      </w:pPr>
      <w:r w:rsidRPr="00E04F0E">
        <w:rPr>
          <w:lang w:val="es-ES"/>
        </w:rPr>
        <w:t>Máquinas remolcadas.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2" w:lineRule="exact"/>
        <w:ind w:hanging="361"/>
        <w:jc w:val="both"/>
        <w:rPr>
          <w:lang w:val="es-ES"/>
        </w:rPr>
      </w:pPr>
      <w:r w:rsidRPr="00E04F0E">
        <w:rPr>
          <w:lang w:val="es-ES"/>
        </w:rPr>
        <w:t>Remolques</w:t>
      </w:r>
      <w:r w:rsidRPr="00E04F0E">
        <w:rPr>
          <w:spacing w:val="-3"/>
          <w:lang w:val="es-ES"/>
        </w:rPr>
        <w:t xml:space="preserve"> </w:t>
      </w:r>
      <w:r w:rsidRPr="00E04F0E">
        <w:rPr>
          <w:lang w:val="es-ES"/>
        </w:rPr>
        <w:t>agrícolas</w:t>
      </w:r>
      <w:r w:rsidR="0035138C">
        <w:rPr>
          <w:lang w:val="es-ES"/>
        </w:rPr>
        <w:t>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7"/>
        <w:ind w:hanging="361"/>
        <w:jc w:val="both"/>
        <w:rPr>
          <w:lang w:val="es-ES"/>
        </w:rPr>
      </w:pPr>
      <w:r w:rsidRPr="00E04F0E">
        <w:rPr>
          <w:lang w:val="es-ES"/>
        </w:rPr>
        <w:t>Cisternas para el trasporte y distribución de</w:t>
      </w:r>
      <w:r w:rsidRPr="00E04F0E">
        <w:rPr>
          <w:spacing w:val="-7"/>
          <w:lang w:val="es-ES"/>
        </w:rPr>
        <w:t xml:space="preserve"> </w:t>
      </w:r>
      <w:r w:rsidRPr="00E04F0E">
        <w:rPr>
          <w:lang w:val="es-ES"/>
        </w:rPr>
        <w:t>líquidos</w:t>
      </w:r>
      <w:r w:rsidR="0035138C">
        <w:rPr>
          <w:lang w:val="es-ES"/>
        </w:rPr>
        <w:t>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2"/>
        </w:tabs>
        <w:spacing w:before="126" w:line="360" w:lineRule="auto"/>
        <w:ind w:right="111"/>
        <w:jc w:val="both"/>
        <w:rPr>
          <w:lang w:val="es-ES"/>
        </w:rPr>
      </w:pPr>
      <w:r w:rsidRPr="00E04F0E">
        <w:rPr>
          <w:lang w:val="es-ES"/>
        </w:rPr>
        <w:t>Equipos de tratamientos fitosanitarios</w:t>
      </w:r>
      <w:r w:rsidR="007E0A5A" w:rsidRPr="00E04F0E">
        <w:rPr>
          <w:lang w:val="es-ES"/>
        </w:rPr>
        <w:t xml:space="preserve"> remolcados</w:t>
      </w:r>
      <w:r w:rsidRPr="00E04F0E">
        <w:rPr>
          <w:lang w:val="es-ES"/>
        </w:rPr>
        <w:t xml:space="preserve"> o suspendidos, de cualquier capacidad o</w:t>
      </w:r>
      <w:r w:rsidRPr="00E04F0E">
        <w:rPr>
          <w:spacing w:val="-1"/>
          <w:lang w:val="es-ES"/>
        </w:rPr>
        <w:t xml:space="preserve"> </w:t>
      </w:r>
      <w:r w:rsidRPr="00E04F0E">
        <w:rPr>
          <w:lang w:val="es-ES"/>
        </w:rPr>
        <w:t>peso</w:t>
      </w:r>
      <w:r w:rsidR="00237DF2" w:rsidRPr="00E04F0E">
        <w:rPr>
          <w:lang w:val="es-ES"/>
        </w:rPr>
        <w:t>, así como los pulverizadores de arrastre manual (carretilla) con depósito de más de 100 litros.</w:t>
      </w:r>
    </w:p>
    <w:p w:rsidR="00E92720" w:rsidRPr="00E04F0E" w:rsidRDefault="00D20E83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s-ES"/>
        </w:rPr>
      </w:pPr>
      <w:r w:rsidRPr="00E04F0E">
        <w:rPr>
          <w:lang w:val="es-ES"/>
        </w:rPr>
        <w:t>Equipos de distribu</w:t>
      </w:r>
      <w:r w:rsidR="00237DF2" w:rsidRPr="00E04F0E">
        <w:rPr>
          <w:lang w:val="es-ES"/>
        </w:rPr>
        <w:t>ción de fertilizantes remolcado</w:t>
      </w:r>
      <w:r w:rsidRPr="00E04F0E">
        <w:rPr>
          <w:lang w:val="es-ES"/>
        </w:rPr>
        <w:t>s o suspendidos, de cualquier capacidad o</w:t>
      </w:r>
      <w:r w:rsidRPr="00E04F0E">
        <w:rPr>
          <w:spacing w:val="-1"/>
          <w:lang w:val="es-ES"/>
        </w:rPr>
        <w:t xml:space="preserve"> </w:t>
      </w:r>
      <w:r w:rsidRPr="00E04F0E">
        <w:rPr>
          <w:lang w:val="es-ES"/>
        </w:rPr>
        <w:t>peso.</w:t>
      </w:r>
    </w:p>
    <w:p w:rsidR="00237DF2" w:rsidRPr="00E04F0E" w:rsidRDefault="00237DF2" w:rsidP="00237DF2">
      <w:pPr>
        <w:tabs>
          <w:tab w:val="left" w:pos="821"/>
          <w:tab w:val="left" w:pos="822"/>
        </w:tabs>
        <w:spacing w:line="360" w:lineRule="auto"/>
        <w:ind w:right="111"/>
        <w:rPr>
          <w:lang w:val="es-ES"/>
        </w:rPr>
      </w:pPr>
    </w:p>
    <w:p w:rsidR="00237DF2" w:rsidRPr="00E04F0E" w:rsidRDefault="00237DF2" w:rsidP="00237DF2">
      <w:pPr>
        <w:pStyle w:val="Prrafodelista"/>
        <w:tabs>
          <w:tab w:val="left" w:pos="821"/>
          <w:tab w:val="left" w:pos="822"/>
        </w:tabs>
        <w:spacing w:line="360" w:lineRule="auto"/>
        <w:ind w:right="111" w:firstLine="0"/>
        <w:rPr>
          <w:lang w:val="es-ES"/>
        </w:rPr>
      </w:pPr>
    </w:p>
    <w:p w:rsidR="00237DF2" w:rsidRPr="00E04F0E" w:rsidRDefault="00237DF2" w:rsidP="00237DF2">
      <w:pPr>
        <w:pStyle w:val="Prrafodelista"/>
        <w:rPr>
          <w:lang w:val="es-ES"/>
        </w:rPr>
      </w:pPr>
    </w:p>
    <w:p w:rsidR="00237DF2" w:rsidRPr="00E04F0E" w:rsidRDefault="00237DF2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s-ES"/>
        </w:rPr>
      </w:pPr>
      <w:r w:rsidRPr="00E04F0E">
        <w:rPr>
          <w:lang w:val="es-ES"/>
        </w:rPr>
        <w:t xml:space="preserve">Esparcidores de purines y accesorios de distribución localizada de purines. Cuando el esparcidor de purín vaya </w:t>
      </w:r>
      <w:r w:rsidRPr="00E04F0E">
        <w:rPr>
          <w:lang w:val="es-ES"/>
        </w:rPr>
        <w:lastRenderedPageBreak/>
        <w:t>equipado con elementos o sensores que gestionen o mejoren la distribución, el fabricante o representante legal cumplimentará el anexo VI.</w:t>
      </w:r>
    </w:p>
    <w:p w:rsidR="00237DF2" w:rsidRPr="00E04F0E" w:rsidRDefault="00237DF2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s-ES"/>
        </w:rPr>
      </w:pPr>
      <w:r w:rsidRPr="00E04F0E">
        <w:rPr>
          <w:lang w:val="es-ES"/>
        </w:rPr>
        <w:t>Las máquinas no incluidas en algunos de los apartados anteriores, para cuya adquisición se haya concedido un crédito o una subvención oficial, siempre que cumplan lo establecido en el artículo 2.</w:t>
      </w:r>
    </w:p>
    <w:p w:rsidR="00237DF2" w:rsidRPr="00E04F0E" w:rsidRDefault="00237DF2" w:rsidP="00237DF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right="111"/>
        <w:jc w:val="both"/>
        <w:rPr>
          <w:lang w:val="es-ES"/>
        </w:rPr>
      </w:pPr>
      <w:r w:rsidRPr="00E04F0E">
        <w:rPr>
          <w:lang w:val="es-ES"/>
        </w:rPr>
        <w:t>Aquellas máquinas agrícolas no contempladas anteriormente y que determinen las comunidades autónomas, previa comunicación de dicha determinación al Ministerio de Agricultura, Pesca y Alimentación.</w:t>
      </w:r>
    </w:p>
    <w:sectPr w:rsidR="00237DF2" w:rsidRPr="00E04F0E" w:rsidSect="00E04F0E">
      <w:type w:val="continuous"/>
      <w:pgSz w:w="11900" w:h="16840"/>
      <w:pgMar w:top="700" w:right="141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3D2D"/>
    <w:multiLevelType w:val="hybridMultilevel"/>
    <w:tmpl w:val="6C56B514"/>
    <w:lvl w:ilvl="0" w:tplc="2D78D974">
      <w:start w:val="1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B949372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DB232E4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E44CF13C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46AA5EE0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465EFDC4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E56E2F1E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1F5C6F4A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C85877B0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" w15:restartNumberingAfterBreak="0">
    <w:nsid w:val="7B827B15"/>
    <w:multiLevelType w:val="hybridMultilevel"/>
    <w:tmpl w:val="5C50F118"/>
    <w:lvl w:ilvl="0" w:tplc="B7F26A3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FAEA78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09A35E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3C6E9068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4C0029D0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9BC8C688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C926489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2F608BA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3D6C13C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20"/>
    <w:rsid w:val="00237DF2"/>
    <w:rsid w:val="0035138C"/>
    <w:rsid w:val="003E77E9"/>
    <w:rsid w:val="006303F1"/>
    <w:rsid w:val="007E0A5A"/>
    <w:rsid w:val="00BD0566"/>
    <w:rsid w:val="00C80C91"/>
    <w:rsid w:val="00D20E83"/>
    <w:rsid w:val="00E04F0E"/>
    <w:rsid w:val="00E92720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9FC1-71B3-4438-857F-E5C29BEE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61"/>
    </w:p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04F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F0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ROMA</vt:lpstr>
    </vt:vector>
  </TitlesOfParts>
  <Company>IZFE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</dc:title>
  <dc:creator>ODRIERAM</dc:creator>
  <cp:keywords>()</cp:keywords>
  <cp:lastModifiedBy>ODRIOZOLA ERAUSQUIN, Maria Luisa</cp:lastModifiedBy>
  <cp:revision>2</cp:revision>
  <dcterms:created xsi:type="dcterms:W3CDTF">2023-02-16T09:19:00Z</dcterms:created>
  <dcterms:modified xsi:type="dcterms:W3CDTF">2023-02-16T09:19:00Z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2023-02-09T00:00:00Z</vt:filetime>
  </property>
</Properties>
</file>